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18895" w14:textId="77777777" w:rsidR="00923080" w:rsidRDefault="00000000">
      <w:pPr>
        <w:widowControl w:val="0"/>
        <w:spacing w:before="1156" w:line="360" w:lineRule="auto"/>
        <w:ind w:left="2880" w:right="3119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PROGRAMA DE CURSO  Registros Médicos I 202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>
        <w:rPr>
          <w:noProof/>
        </w:rPr>
        <w:drawing>
          <wp:anchor distT="0" distB="0" distL="0" distR="0" simplePos="0" relativeHeight="251658240" behindDoc="0" locked="0" layoutInCell="1" hidden="0" allowOverlap="1" wp14:anchorId="5BE12BCC" wp14:editId="685A1091">
            <wp:simplePos x="0" y="0"/>
            <wp:positionH relativeFrom="column">
              <wp:posOffset>-248283</wp:posOffset>
            </wp:positionH>
            <wp:positionV relativeFrom="paragraph">
              <wp:posOffset>-342264</wp:posOffset>
            </wp:positionV>
            <wp:extent cx="6116320" cy="897255"/>
            <wp:effectExtent l="0" t="0" r="0" b="0"/>
            <wp:wrapTopAndBottom distT="0" dist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8972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EC19838" w14:textId="77777777" w:rsidR="00923080" w:rsidRDefault="00000000">
      <w:pPr>
        <w:widowControl w:val="0"/>
        <w:spacing w:before="691" w:line="360" w:lineRule="auto"/>
        <w:ind w:left="-28" w:right="3676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1- UBICACIÓN CURRICULAR Y PREVIATURAS </w:t>
      </w:r>
    </w:p>
    <w:p w14:paraId="33F9645A" w14:textId="77777777" w:rsidR="00923080" w:rsidRDefault="00000000">
      <w:pPr>
        <w:widowControl w:val="0"/>
        <w:spacing w:before="225" w:line="360" w:lineRule="auto"/>
        <w:ind w:left="-28" w:right="-1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Esta asignatura corresponde al segundo año de la carrera, es semestral y se dicta en el 1er semestre. </w:t>
      </w:r>
    </w:p>
    <w:p w14:paraId="018B9988" w14:textId="77777777" w:rsidR="00923080" w:rsidRDefault="00000000">
      <w:pPr>
        <w:widowControl w:val="0"/>
        <w:spacing w:before="225" w:line="360" w:lineRule="auto"/>
        <w:ind w:left="-28" w:right="-1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Las previaturas son las siguientes: Ciclo ESFUNO, Introducción a los Registros Médicos</w:t>
      </w:r>
    </w:p>
    <w:p w14:paraId="638D98CC" w14:textId="77777777" w:rsidR="00923080" w:rsidRDefault="00000000">
      <w:pPr>
        <w:widowControl w:val="0"/>
        <w:spacing w:before="691" w:line="360" w:lineRule="auto"/>
        <w:ind w:left="-28" w:right="580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2- EQUIPO DOCENTE A CARGO </w:t>
      </w:r>
    </w:p>
    <w:p w14:paraId="4A2BB243" w14:textId="77777777" w:rsidR="00923080" w:rsidRDefault="00923080">
      <w:pPr>
        <w:widowControl w:val="0"/>
        <w:spacing w:before="225" w:line="360" w:lineRule="auto"/>
        <w:ind w:left="-28" w:right="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96285B7" w14:textId="77777777" w:rsidR="00923080" w:rsidRDefault="00000000">
      <w:pPr>
        <w:widowControl w:val="0"/>
        <w:spacing w:before="225" w:line="360" w:lineRule="auto"/>
        <w:ind w:left="-28" w:right="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-Prof. Adj. Lic. Stephanie Guirin</w:t>
      </w:r>
    </w:p>
    <w:p w14:paraId="23B07B00" w14:textId="77777777" w:rsidR="00923080" w:rsidRDefault="00000000">
      <w:pPr>
        <w:widowControl w:val="0"/>
        <w:spacing w:before="225" w:line="360" w:lineRule="auto"/>
        <w:ind w:left="-28" w:right="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Prof. Adj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Lic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Jorge Sandes</w:t>
      </w:r>
    </w:p>
    <w:p w14:paraId="446B6759" w14:textId="77777777" w:rsidR="00923080" w:rsidRDefault="00000000">
      <w:pPr>
        <w:widowControl w:val="0"/>
        <w:spacing w:before="225" w:line="360" w:lineRule="auto"/>
        <w:ind w:left="-28" w:right="4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-Ayud. Lic. Paola Mederos</w:t>
      </w:r>
    </w:p>
    <w:p w14:paraId="67688B95" w14:textId="77777777" w:rsidR="00923080" w:rsidRDefault="00000000">
      <w:pPr>
        <w:widowControl w:val="0"/>
        <w:spacing w:before="691" w:line="360" w:lineRule="auto"/>
        <w:ind w:right="863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3- FUNDAMENTACIÓN Y OBJETIVOS GENERALES: </w:t>
      </w:r>
    </w:p>
    <w:p w14:paraId="30BFD38F" w14:textId="77777777" w:rsidR="00923080" w:rsidRDefault="00000000">
      <w:pPr>
        <w:widowControl w:val="0"/>
        <w:spacing w:before="691" w:line="360" w:lineRule="auto"/>
        <w:ind w:left="-28" w:right="86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Introducir al estudiante en el conocimiento teórico de los temas fundamentales y específicos de los Registros Médicos.</w:t>
      </w:r>
    </w:p>
    <w:p w14:paraId="4A23D52A" w14:textId="77777777" w:rsidR="00923080" w:rsidRDefault="00000000">
      <w:pPr>
        <w:widowControl w:val="0"/>
        <w:spacing w:before="691" w:line="360" w:lineRule="auto"/>
        <w:ind w:right="86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Brindarle las herramientas necesarias para el desempeño profesional en todo ámbito sanitario.</w:t>
      </w:r>
    </w:p>
    <w:p w14:paraId="5BB57948" w14:textId="77777777" w:rsidR="00923080" w:rsidRDefault="00923080">
      <w:pPr>
        <w:widowControl w:val="0"/>
        <w:spacing w:before="691" w:line="360" w:lineRule="auto"/>
        <w:ind w:right="86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BFAB4DE" w14:textId="77777777" w:rsidR="00923080" w:rsidRDefault="00000000">
      <w:pPr>
        <w:widowControl w:val="0"/>
        <w:spacing w:before="691" w:line="360" w:lineRule="auto"/>
        <w:ind w:left="-28" w:right="24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4- METODOLOGÍAS DE ENSEÑANZA </w:t>
      </w:r>
    </w:p>
    <w:p w14:paraId="3BF99033" w14:textId="77777777" w:rsidR="00923080" w:rsidRDefault="00000000">
      <w:pPr>
        <w:widowControl w:val="0"/>
        <w:spacing w:before="225" w:line="360" w:lineRule="auto"/>
        <w:ind w:left="-28" w:right="-1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Clases teórico prácticas, a través de la plataforma EVA, en el curso Registros Médicos I. </w:t>
      </w:r>
    </w:p>
    <w:p w14:paraId="701DCF6A" w14:textId="77777777" w:rsidR="00923080" w:rsidRDefault="00000000">
      <w:pPr>
        <w:widowControl w:val="0"/>
        <w:spacing w:before="686" w:line="360" w:lineRule="auto"/>
        <w:ind w:left="-28" w:right="5663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5- CONTENIDOS TEMÁTICOS </w:t>
      </w:r>
    </w:p>
    <w:p w14:paraId="42AAFC03" w14:textId="77777777" w:rsidR="00923080" w:rsidRDefault="00923080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492C526" w14:textId="77777777" w:rsidR="00923080" w:rsidRDefault="00000000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Gestión y procesos asistenciales de Registros Médicos </w:t>
      </w:r>
    </w:p>
    <w:p w14:paraId="7DA21645" w14:textId="77777777" w:rsidR="00923080" w:rsidRDefault="00000000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-Sistema de Información en Salud</w:t>
      </w:r>
    </w:p>
    <w:p w14:paraId="4E3D629B" w14:textId="77777777" w:rsidR="00923080" w:rsidRDefault="00000000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Historia Clínica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3FCB2CC" w14:textId="77777777" w:rsidR="00923080" w:rsidRDefault="00000000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-Historia Clínica Electrónica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063F176" w14:textId="77777777" w:rsidR="00923080" w:rsidRDefault="00000000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Interoperabilidad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0532FBEF" w14:textId="77777777" w:rsidR="00923080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Archivo</w:t>
      </w:r>
    </w:p>
    <w:p w14:paraId="0FF7BEEB" w14:textId="77777777" w:rsidR="00923080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-Consulta Externa. Servicios Ambulatorios. Telemedicina (Teleconsultas) </w:t>
      </w:r>
    </w:p>
    <w:p w14:paraId="2E63EE9A" w14:textId="77777777" w:rsidR="00923080" w:rsidRDefault="00000000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-Servicios de Diagnóstico y Tratamiento</w:t>
      </w:r>
    </w:p>
    <w:p w14:paraId="4AC54A62" w14:textId="77777777" w:rsidR="00923080" w:rsidRDefault="00000000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-Admisión</w:t>
      </w:r>
    </w:p>
    <w:p w14:paraId="0DC37389" w14:textId="77777777" w:rsidR="00923080" w:rsidRDefault="00000000">
      <w:pPr>
        <w:spacing w:line="360" w:lineRule="auto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-Hospitalización</w:t>
      </w:r>
    </w:p>
    <w:p w14:paraId="1E3411C2" w14:textId="77777777" w:rsidR="00923080" w:rsidRDefault="00000000">
      <w:pPr>
        <w:widowControl w:val="0"/>
        <w:spacing w:before="691" w:line="360" w:lineRule="auto"/>
        <w:ind w:left="-28" w:right="6705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6- CARGA HORARIA </w:t>
      </w:r>
    </w:p>
    <w:p w14:paraId="4E9A01CA" w14:textId="77777777" w:rsidR="00923080" w:rsidRDefault="00000000">
      <w:pPr>
        <w:widowControl w:val="0"/>
        <w:spacing w:before="585" w:line="360" w:lineRule="auto"/>
        <w:ind w:left="-28" w:right="-11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La materia tiene 3 horas semanales  teóricas, divididas en dos días, de 1,5.  Se </w:t>
      </w:r>
      <w:r>
        <w:rPr>
          <w:rFonts w:ascii="Times New Roman" w:eastAsia="Times New Roman" w:hAnsi="Times New Roman" w:cs="Times New Roman"/>
          <w:sz w:val="24"/>
          <w:szCs w:val="24"/>
        </w:rPr>
        <w:t>propondrán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actividades obligatorias de entrega y actividades no obligatorias, estas podrán  </w:t>
      </w:r>
      <w:r>
        <w:rPr>
          <w:rFonts w:ascii="Times New Roman" w:eastAsia="Times New Roman" w:hAnsi="Times New Roman" w:cs="Times New Roman"/>
          <w:sz w:val="24"/>
          <w:szCs w:val="24"/>
        </w:rPr>
        <w:t>ser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carácter individual  y/o grupal. Aclaración las clases </w:t>
      </w:r>
      <w:r>
        <w:rPr>
          <w:rFonts w:ascii="Times New Roman" w:eastAsia="Times New Roman" w:hAnsi="Times New Roman" w:cs="Times New Roman"/>
          <w:sz w:val="24"/>
          <w:szCs w:val="24"/>
        </w:rPr>
        <w:t>serán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virtuales, el estudiante </w:t>
      </w:r>
      <w:r>
        <w:rPr>
          <w:rFonts w:ascii="Times New Roman" w:eastAsia="Times New Roman" w:hAnsi="Times New Roman" w:cs="Times New Roman"/>
          <w:sz w:val="24"/>
          <w:szCs w:val="24"/>
        </w:rPr>
        <w:t>tendrá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posibilidad de participar en el momento del dictado de la clase o luego de publicada en la plataforma Eva de forma </w:t>
      </w:r>
      <w:r>
        <w:rPr>
          <w:rFonts w:ascii="Times New Roman" w:eastAsia="Times New Roman" w:hAnsi="Times New Roman" w:cs="Times New Roman"/>
          <w:sz w:val="24"/>
          <w:szCs w:val="24"/>
        </w:rPr>
        <w:t>asincrónica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               </w:t>
      </w:r>
    </w:p>
    <w:p w14:paraId="054372B6" w14:textId="77777777" w:rsidR="00923080" w:rsidRDefault="00923080">
      <w:pPr>
        <w:widowControl w:val="0"/>
        <w:spacing w:before="585" w:line="360" w:lineRule="auto"/>
        <w:ind w:left="-28" w:right="-1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"/>
        <w:tblW w:w="4362" w:type="dxa"/>
        <w:tblInd w:w="26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91"/>
        <w:gridCol w:w="2071"/>
      </w:tblGrid>
      <w:tr w:rsidR="00923080" w14:paraId="15AA66F7" w14:textId="77777777">
        <w:tc>
          <w:tcPr>
            <w:tcW w:w="2291" w:type="dxa"/>
            <w:shd w:val="clear" w:color="auto" w:fill="auto"/>
          </w:tcPr>
          <w:p w14:paraId="079458CF" w14:textId="77777777" w:rsidR="00923080" w:rsidRDefault="00000000">
            <w:pPr>
              <w:widowControl w:val="0"/>
              <w:spacing w:before="585" w:line="36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Carga horaria semanal</w:t>
            </w:r>
          </w:p>
        </w:tc>
        <w:tc>
          <w:tcPr>
            <w:tcW w:w="2071" w:type="dxa"/>
            <w:shd w:val="clear" w:color="auto" w:fill="auto"/>
          </w:tcPr>
          <w:p w14:paraId="611FA283" w14:textId="77777777" w:rsidR="00923080" w:rsidRDefault="00000000">
            <w:pPr>
              <w:widowControl w:val="0"/>
              <w:spacing w:before="585" w:line="36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Dedicación semanal</w:t>
            </w:r>
          </w:p>
        </w:tc>
      </w:tr>
      <w:tr w:rsidR="00923080" w14:paraId="6AAA2632" w14:textId="77777777">
        <w:tc>
          <w:tcPr>
            <w:tcW w:w="2291" w:type="dxa"/>
            <w:shd w:val="clear" w:color="auto" w:fill="auto"/>
          </w:tcPr>
          <w:p w14:paraId="453CD05F" w14:textId="77777777" w:rsidR="00923080" w:rsidRDefault="00000000">
            <w:pPr>
              <w:widowControl w:val="0"/>
              <w:spacing w:before="585" w:line="36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horas</w:t>
            </w:r>
          </w:p>
        </w:tc>
        <w:tc>
          <w:tcPr>
            <w:tcW w:w="2071" w:type="dxa"/>
            <w:shd w:val="clear" w:color="auto" w:fill="auto"/>
          </w:tcPr>
          <w:p w14:paraId="4912A0A8" w14:textId="77777777" w:rsidR="00923080" w:rsidRDefault="00000000">
            <w:pPr>
              <w:widowControl w:val="0"/>
              <w:spacing w:before="585" w:line="36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horas</w:t>
            </w:r>
          </w:p>
        </w:tc>
      </w:tr>
    </w:tbl>
    <w:p w14:paraId="1C882BDA" w14:textId="77777777" w:rsidR="00923080" w:rsidRDefault="00000000">
      <w:pPr>
        <w:widowControl w:val="0"/>
        <w:spacing w:before="585" w:line="360" w:lineRule="auto"/>
        <w:ind w:left="-28" w:right="-110"/>
        <w:jc w:val="both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7- FORMAS DE EVALUACIÓN, GANANCIA Y APROBACIÓN DEL CURSO </w:t>
      </w:r>
    </w:p>
    <w:p w14:paraId="2F06FBF3" w14:textId="77777777" w:rsidR="00923080" w:rsidRDefault="00000000">
      <w:pPr>
        <w:spacing w:line="360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 realizarán 3 pruebas parciales </w:t>
      </w:r>
      <w:r>
        <w:rPr>
          <w:rFonts w:ascii="Times New Roman" w:eastAsia="Times New Roman" w:hAnsi="Times New Roman" w:cs="Times New Roman"/>
          <w:sz w:val="24"/>
          <w:szCs w:val="24"/>
        </w:rPr>
        <w:t>obligatorias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se tendrán en cuenta los trabajos grupales e individuales y las participaciones obligatorias en foros, para la ganancia del curso.</w:t>
      </w:r>
    </w:p>
    <w:p w14:paraId="39FC6422" w14:textId="77777777" w:rsidR="00923080" w:rsidRDefault="00000000">
      <w:pPr>
        <w:spacing w:line="360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Los  parciales </w:t>
      </w:r>
      <w:r>
        <w:rPr>
          <w:rFonts w:ascii="Times New Roman" w:eastAsia="Times New Roman" w:hAnsi="Times New Roman" w:cs="Times New Roman"/>
          <w:sz w:val="24"/>
          <w:szCs w:val="24"/>
        </w:rPr>
        <w:t>son 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30 puntos como máximo cada uno, teniendo como mínimo el primero 8 puntos, el segundo y tercero 10 puntos como mínimo. </w:t>
      </w:r>
    </w:p>
    <w:p w14:paraId="229A3170" w14:textId="77777777" w:rsidR="00923080" w:rsidRDefault="00000000">
      <w:pPr>
        <w:spacing w:line="360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Los trabajos grupales obligatorios tienen como máximo </w:t>
      </w:r>
      <w:r>
        <w:rPr>
          <w:rFonts w:ascii="Times New Roman" w:eastAsia="Times New Roman" w:hAnsi="Times New Roman" w:cs="Times New Roman"/>
          <w:sz w:val="24"/>
          <w:szCs w:val="24"/>
        </w:rPr>
        <w:t>10 puntos.</w:t>
      </w:r>
    </w:p>
    <w:p w14:paraId="10675B4D" w14:textId="77777777" w:rsidR="00923080" w:rsidRDefault="00000000">
      <w:pPr>
        <w:spacing w:line="360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Para ganar el curso se debe tener un mínimo de 50 puntos obteniéndose el derecho a dar el examen (obligatorio).</w:t>
      </w:r>
    </w:p>
    <w:p w14:paraId="682642A1" w14:textId="77777777" w:rsidR="00923080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Instancias por la que se pierde el curso: </w:t>
      </w:r>
    </w:p>
    <w:p w14:paraId="1ED71A65" w14:textId="77777777" w:rsidR="00923080" w:rsidRDefault="00000000">
      <w:pPr>
        <w:spacing w:line="360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-obteniendo menos de 50 puntos en la suma total de las actividades.</w:t>
      </w:r>
    </w:p>
    <w:p w14:paraId="3D1C4A7E" w14:textId="77777777" w:rsidR="00923080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-obteniendo  una puntuación por debajo del mínimo en cualquiera de los parciales.</w:t>
      </w:r>
    </w:p>
    <w:p w14:paraId="0162874A" w14:textId="77777777" w:rsidR="00923080" w:rsidRDefault="00000000">
      <w:pPr>
        <w:spacing w:line="360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-No participar en </w:t>
      </w:r>
      <w:r>
        <w:rPr>
          <w:rFonts w:ascii="Times New Roman" w:eastAsia="Times New Roman" w:hAnsi="Times New Roman" w:cs="Times New Roman"/>
          <w:sz w:val="24"/>
          <w:szCs w:val="24"/>
        </w:rPr>
        <w:t>el trabajo grupal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3BECC83F" w14:textId="77777777" w:rsidR="00923080" w:rsidRDefault="00923080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0"/>
        <w:tblW w:w="777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67"/>
        <w:gridCol w:w="1551"/>
        <w:gridCol w:w="1551"/>
        <w:gridCol w:w="1551"/>
        <w:gridCol w:w="1555"/>
      </w:tblGrid>
      <w:tr w:rsidR="00923080" w14:paraId="6F0EDA86" w14:textId="77777777">
        <w:tc>
          <w:tcPr>
            <w:tcW w:w="1567" w:type="dxa"/>
            <w:shd w:val="clear" w:color="auto" w:fill="auto"/>
          </w:tcPr>
          <w:p w14:paraId="05CAF2BB" w14:textId="77777777" w:rsidR="00923080" w:rsidRDefault="00000000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Actividad</w:t>
            </w:r>
          </w:p>
        </w:tc>
        <w:tc>
          <w:tcPr>
            <w:tcW w:w="1551" w:type="dxa"/>
            <w:shd w:val="clear" w:color="auto" w:fill="auto"/>
          </w:tcPr>
          <w:p w14:paraId="55CEA6B5" w14:textId="77777777" w:rsidR="00923080" w:rsidRDefault="0000000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er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Parcial</w:t>
            </w:r>
          </w:p>
        </w:tc>
        <w:tc>
          <w:tcPr>
            <w:tcW w:w="1551" w:type="dxa"/>
            <w:shd w:val="clear" w:color="auto" w:fill="auto"/>
          </w:tcPr>
          <w:p w14:paraId="73DE3F20" w14:textId="77777777" w:rsidR="00923080" w:rsidRDefault="0000000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 xml:space="preserve">do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Parcial</w:t>
            </w:r>
          </w:p>
        </w:tc>
        <w:tc>
          <w:tcPr>
            <w:tcW w:w="1551" w:type="dxa"/>
            <w:shd w:val="clear" w:color="auto" w:fill="auto"/>
          </w:tcPr>
          <w:p w14:paraId="30289281" w14:textId="77777777" w:rsidR="00923080" w:rsidRDefault="0000000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3er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Parcial</w:t>
            </w:r>
          </w:p>
        </w:tc>
        <w:tc>
          <w:tcPr>
            <w:tcW w:w="1555" w:type="dxa"/>
            <w:shd w:val="clear" w:color="auto" w:fill="auto"/>
          </w:tcPr>
          <w:p w14:paraId="1F893DA6" w14:textId="77777777" w:rsidR="00923080" w:rsidRDefault="0000000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Trabajo  grupal</w:t>
            </w:r>
          </w:p>
        </w:tc>
      </w:tr>
      <w:tr w:rsidR="00923080" w14:paraId="575CCC77" w14:textId="77777777">
        <w:tc>
          <w:tcPr>
            <w:tcW w:w="1567" w:type="dxa"/>
            <w:shd w:val="clear" w:color="auto" w:fill="auto"/>
          </w:tcPr>
          <w:p w14:paraId="27E242FD" w14:textId="77777777" w:rsidR="00923080" w:rsidRDefault="0000000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Puntos (%)</w:t>
            </w:r>
          </w:p>
        </w:tc>
        <w:tc>
          <w:tcPr>
            <w:tcW w:w="1551" w:type="dxa"/>
            <w:shd w:val="clear" w:color="auto" w:fill="auto"/>
          </w:tcPr>
          <w:p w14:paraId="2E30A493" w14:textId="77777777" w:rsidR="00923080" w:rsidRDefault="0000000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 (8 mínimo)</w:t>
            </w:r>
          </w:p>
        </w:tc>
        <w:tc>
          <w:tcPr>
            <w:tcW w:w="1551" w:type="dxa"/>
            <w:shd w:val="clear" w:color="auto" w:fill="auto"/>
          </w:tcPr>
          <w:p w14:paraId="1B266BE1" w14:textId="77777777" w:rsidR="00923080" w:rsidRDefault="0000000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 (10 mínimo)</w:t>
            </w:r>
          </w:p>
        </w:tc>
        <w:tc>
          <w:tcPr>
            <w:tcW w:w="1551" w:type="dxa"/>
            <w:shd w:val="clear" w:color="auto" w:fill="auto"/>
          </w:tcPr>
          <w:p w14:paraId="2C054D5D" w14:textId="77777777" w:rsidR="00923080" w:rsidRDefault="0000000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 (10 mínimo)</w:t>
            </w:r>
          </w:p>
        </w:tc>
        <w:tc>
          <w:tcPr>
            <w:tcW w:w="1555" w:type="dxa"/>
            <w:shd w:val="clear" w:color="auto" w:fill="auto"/>
          </w:tcPr>
          <w:p w14:paraId="6275AC38" w14:textId="77777777" w:rsidR="00923080" w:rsidRDefault="00000000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(mínimo)</w:t>
            </w:r>
          </w:p>
        </w:tc>
      </w:tr>
    </w:tbl>
    <w:p w14:paraId="1E1CCF31" w14:textId="77777777" w:rsidR="00923080" w:rsidRDefault="00923080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2455C19" w14:textId="77777777" w:rsidR="00923080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Todas las actividades serán virtuales. </w:t>
      </w:r>
    </w:p>
    <w:p w14:paraId="49EB07FE" w14:textId="77777777" w:rsidR="00923080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 aprobación del curso habilita al estudiante a rendir el examen final de la asignatura, el cual se aprobará con el 60%.</w:t>
      </w:r>
    </w:p>
    <w:p w14:paraId="589E7E1A" w14:textId="77777777" w:rsidR="00923080" w:rsidRDefault="00000000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 modalidad del examen será presencial, consta de dos actividades:  una escrita y una  oral.</w:t>
      </w:r>
    </w:p>
    <w:p w14:paraId="53589BB0" w14:textId="77777777" w:rsidR="00923080" w:rsidRDefault="0092308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9598C87" w14:textId="77777777" w:rsidR="00923080" w:rsidRDefault="00000000">
      <w:pPr>
        <w:widowControl w:val="0"/>
        <w:spacing w:before="691" w:line="360" w:lineRule="auto"/>
        <w:ind w:right="540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8- ORGANIZACIÓN DEL CURSO </w:t>
      </w:r>
    </w:p>
    <w:p w14:paraId="4B70C580" w14:textId="77777777" w:rsidR="00923080" w:rsidRDefault="00000000">
      <w:pPr>
        <w:widowControl w:val="0"/>
        <w:spacing w:before="225" w:line="360" w:lineRule="auto"/>
        <w:ind w:left="-28" w:right="80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Calendario </w:t>
      </w:r>
    </w:p>
    <w:p w14:paraId="40558AA7" w14:textId="77777777" w:rsidR="00923080" w:rsidRDefault="00000000">
      <w:pPr>
        <w:widowControl w:val="0"/>
        <w:spacing w:before="48" w:line="360" w:lineRule="auto"/>
        <w:ind w:left="676" w:right="3364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Fecha de inicio: </w:t>
      </w:r>
      <w:r>
        <w:rPr>
          <w:rFonts w:ascii="Times New Roman" w:eastAsia="Times New Roman" w:hAnsi="Times New Roman" w:cs="Times New Roman"/>
          <w:sz w:val="24"/>
          <w:szCs w:val="24"/>
        </w:rPr>
        <w:t>13 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marzo</w:t>
      </w:r>
    </w:p>
    <w:p w14:paraId="2CB509A0" w14:textId="77777777" w:rsidR="00923080" w:rsidRDefault="00000000">
      <w:pPr>
        <w:widowControl w:val="0"/>
        <w:spacing w:before="48" w:line="360" w:lineRule="auto"/>
        <w:ind w:left="676" w:right="3364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Fechas de parciales: </w:t>
      </w:r>
    </w:p>
    <w:p w14:paraId="383F1A9D" w14:textId="77777777" w:rsidR="00923080" w:rsidRDefault="00000000">
      <w:pPr>
        <w:widowControl w:val="0"/>
        <w:spacing w:before="48" w:line="360" w:lineRule="auto"/>
        <w:ind w:left="676" w:right="3364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Fecha de finalización:  </w:t>
      </w:r>
      <w:r>
        <w:rPr>
          <w:rFonts w:ascii="Times New Roman" w:eastAsia="Times New Roman" w:hAnsi="Times New Roman" w:cs="Times New Roman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junio</w:t>
      </w:r>
    </w:p>
    <w:p w14:paraId="67ECCA8E" w14:textId="77777777" w:rsidR="00923080" w:rsidRDefault="00000000">
      <w:pPr>
        <w:widowControl w:val="0"/>
        <w:spacing w:before="48" w:line="360" w:lineRule="auto"/>
        <w:ind w:left="676" w:right="3364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Fechas de exámenes: julio</w:t>
      </w:r>
    </w:p>
    <w:p w14:paraId="02239B68" w14:textId="77777777" w:rsidR="00923080" w:rsidRDefault="00000000">
      <w:pPr>
        <w:widowControl w:val="0"/>
        <w:spacing w:before="331" w:line="360" w:lineRule="auto"/>
        <w:ind w:left="-28" w:right="70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Organización general </w:t>
      </w:r>
    </w:p>
    <w:p w14:paraId="2B0D94E3" w14:textId="77777777" w:rsidR="00923080" w:rsidRDefault="00000000">
      <w:pPr>
        <w:widowControl w:val="0"/>
        <w:spacing w:before="585" w:line="360" w:lineRule="auto"/>
        <w:ind w:left="676" w:right="-1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Los días y horario de clase son los siguientes: </w:t>
      </w:r>
    </w:p>
    <w:p w14:paraId="43159378" w14:textId="77777777" w:rsidR="00923080" w:rsidRDefault="00000000">
      <w:pPr>
        <w:widowControl w:val="0"/>
        <w:spacing w:before="585" w:line="360" w:lineRule="auto"/>
        <w:ind w:left="676" w:right="-1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CONFIRMAR</w:t>
      </w:r>
    </w:p>
    <w:p w14:paraId="2DC74C9E" w14:textId="77777777" w:rsidR="00923080" w:rsidRDefault="00923080">
      <w:pPr>
        <w:widowControl w:val="0"/>
        <w:spacing w:before="585" w:line="360" w:lineRule="auto"/>
        <w:ind w:left="676" w:right="-110"/>
        <w:rPr>
          <w:rFonts w:ascii="Times New Roman" w:eastAsia="Times New Roman" w:hAnsi="Times New Roman" w:cs="Times New Roman"/>
          <w:sz w:val="24"/>
          <w:szCs w:val="24"/>
        </w:rPr>
      </w:pPr>
    </w:p>
    <w:p w14:paraId="51D32410" w14:textId="77777777" w:rsidR="00923080" w:rsidRDefault="00000000">
      <w:pPr>
        <w:widowControl w:val="0"/>
        <w:spacing w:before="686" w:line="360" w:lineRule="auto"/>
        <w:ind w:left="-28" w:right="-1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9- BIBLIOGRAFÍA RECOMENDADA </w:t>
      </w:r>
    </w:p>
    <w:p w14:paraId="2C1B4B69" w14:textId="77777777" w:rsidR="00923080" w:rsidRDefault="00000000">
      <w:pPr>
        <w:widowControl w:val="0"/>
        <w:spacing w:before="686" w:line="360" w:lineRule="auto"/>
        <w:ind w:left="-28" w:right="-1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Libros y artículos académicos. </w:t>
      </w:r>
    </w:p>
    <w:p w14:paraId="2E28CD91" w14:textId="77777777" w:rsidR="00923080" w:rsidRDefault="00000000">
      <w:pPr>
        <w:widowControl w:val="0"/>
        <w:spacing w:before="686" w:line="360" w:lineRule="auto"/>
        <w:ind w:left="-28" w:right="-1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G. Berro Rovira, S. Zawadzki.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Medicina Legal Derecho Médico y Aspectos Bioéticos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Año 2013.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</w:p>
    <w:p w14:paraId="6E630605" w14:textId="77777777" w:rsidR="00923080" w:rsidRDefault="00000000">
      <w:pPr>
        <w:widowControl w:val="0"/>
        <w:spacing w:before="686" w:line="360" w:lineRule="auto"/>
        <w:ind w:left="-28" w:right="-1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-J. Carnicero, A. Fernández.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Manual de Salud Electrónica.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Año 2012. CEPAL. Sociedad Española de Informática de la Salud (SEIS) 2012 Publicación de las Naciones Unidas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</w:p>
    <w:p w14:paraId="67EADF8E" w14:textId="77777777" w:rsidR="00923080" w:rsidRDefault="00000000">
      <w:pPr>
        <w:widowControl w:val="0"/>
        <w:spacing w:before="686" w:line="360" w:lineRule="auto"/>
        <w:ind w:right="-1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-El Departamento de Registros Médicos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Año 1990 .Guía para su organización. Serie Paltex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OPS – OMS </w:t>
      </w:r>
    </w:p>
    <w:p w14:paraId="388F4099" w14:textId="77777777" w:rsidR="00923080" w:rsidRDefault="00000000">
      <w:pPr>
        <w:widowControl w:val="0"/>
        <w:spacing w:before="686" w:line="360" w:lineRule="auto"/>
        <w:ind w:right="-1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Registros Médicos y de Salud. Módulos de Aprendizaje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Año 1991 . Serie Paltex OPS – OMS </w:t>
      </w:r>
    </w:p>
    <w:p w14:paraId="6AAE0AA4" w14:textId="77777777" w:rsidR="00923080" w:rsidRDefault="00000000">
      <w:pPr>
        <w:widowControl w:val="0"/>
        <w:spacing w:before="686" w:line="360" w:lineRule="auto"/>
        <w:ind w:right="-1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Medicina Legal. Derecho Médico. Segunda edición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.2020.  Departamento de Medicina legal y ciencias forenses. Facultad de Medicina. Universidad de la República. Hugo Rodríguez Almada. Oficina del Libro</w:t>
      </w:r>
    </w:p>
    <w:p w14:paraId="31DB2659" w14:textId="77777777" w:rsidR="00923080" w:rsidRDefault="00000000">
      <w:pPr>
        <w:widowControl w:val="0"/>
        <w:spacing w:before="686" w:line="360" w:lineRule="auto"/>
        <w:ind w:right="-105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-Interoperability of electronic health records. What is HL7® CDATM? – iEHR.eu [Internet].Disponible en: </w:t>
      </w:r>
      <w:hyperlink r:id="rId7">
        <w:r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http://iehr.eu/knowledge/what-is-hl7-cda/</w:t>
        </w:r>
      </w:hyperlink>
    </w:p>
    <w:p w14:paraId="3F5AE5F8" w14:textId="77777777" w:rsidR="00923080" w:rsidRDefault="00000000">
      <w:pPr>
        <w:widowControl w:val="0"/>
        <w:spacing w:before="686" w:line="360" w:lineRule="auto"/>
        <w:ind w:right="-105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-SNOMED CT. Fundamentos: Introducción a SNOMED CT [Internet]. 2019. p. 3-4. Disponible en: </w:t>
      </w:r>
      <w:hyperlink r:id="rId8">
        <w:r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https://elearning.ihtsdotools.org/mod/scorm/view.php?id=833</w:t>
        </w:r>
      </w:hyperlink>
    </w:p>
    <w:p w14:paraId="1D35396E" w14:textId="77777777" w:rsidR="00923080" w:rsidRDefault="00000000">
      <w:pPr>
        <w:widowControl w:val="0"/>
        <w:spacing w:before="686" w:line="360" w:lineRule="auto"/>
        <w:ind w:right="-105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-World Health Organization. Regional Office for the Western Pacific. (?2003)?. Improving dataquality: a guide for developing countries. Manila: WHO Regional Office for the Western Pacific. [Internet] Disponible en: </w:t>
      </w:r>
      <w:hyperlink r:id="rId9">
        <w:r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http://www.wpro.who.int/publications/docs/Improving_Data_Quality.pdf?ua=1</w:t>
        </w:r>
      </w:hyperlink>
    </w:p>
    <w:p w14:paraId="1DE8FEBD" w14:textId="77777777" w:rsidR="00923080" w:rsidRDefault="00000000">
      <w:pPr>
        <w:widowControl w:val="0"/>
        <w:spacing w:before="686" w:line="360" w:lineRule="auto"/>
        <w:ind w:right="-105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-Luna D. Historia Clínica Digital. En: Congreso Interdisciplinario de la Salud de Bahia Blanca[Internet]. Bahía Blanca; 2015. p. 1-45. Disponible en: </w:t>
      </w:r>
      <w:hyperlink r:id="rId10">
        <w:r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https://www.hospitalitaliano.org.ar/multimedia/archivos/repositorio/11/recursos/861_Daniel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Luna Bahía Blanca 2015.pdf</w:t>
      </w:r>
    </w:p>
    <w:p w14:paraId="0E8160F8" w14:textId="77777777" w:rsidR="00923080" w:rsidRDefault="00000000">
      <w:pPr>
        <w:widowControl w:val="0"/>
        <w:spacing w:before="686" w:line="360" w:lineRule="auto"/>
        <w:ind w:right="-105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-Plazzotta F, Luna D, Gonzalez Bernaldo de Quiros F. Sistemas de Información en Salud: Integrando datos clínicos en diferentes escenarios y usuarios. Revista Peruana de </w:t>
      </w:r>
      <w:r>
        <w:rPr>
          <w:rFonts w:ascii="Times New Roman" w:eastAsia="Times New Roman" w:hAnsi="Times New Roman" w:cs="Times New Roman"/>
          <w:sz w:val="24"/>
          <w:szCs w:val="24"/>
        </w:rPr>
        <w:t>Medicina Experimental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Salud </w:t>
      </w:r>
      <w:r>
        <w:rPr>
          <w:rFonts w:ascii="Times New Roman" w:eastAsia="Times New Roman" w:hAnsi="Times New Roman" w:cs="Times New Roman"/>
          <w:sz w:val="24"/>
          <w:szCs w:val="24"/>
        </w:rPr>
        <w:t>Pública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[Internet]. 2015;32(2):343-51. Disponible en: </w:t>
      </w:r>
      <w:hyperlink r:id="rId11">
        <w:r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http://www.scielo.org.pe/scielo.php?script=sci_arttext&amp;amp;pid=S172646342015000200020&amp;amp;nrm=iso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1471C870" w14:textId="77777777" w:rsidR="00923080" w:rsidRDefault="00000000">
      <w:pPr>
        <w:widowControl w:val="0"/>
        <w:spacing w:before="686" w:line="360" w:lineRule="auto"/>
        <w:ind w:right="-105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Normativa.</w:t>
      </w:r>
    </w:p>
    <w:p w14:paraId="6C2328F5" w14:textId="77777777" w:rsidR="00923080" w:rsidRDefault="00000000">
      <w:pPr>
        <w:widowControl w:val="0"/>
        <w:spacing w:before="686" w:line="360" w:lineRule="auto"/>
        <w:ind w:right="-1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-Ley 17.823 Código de la Niñez y la Adolescencia </w:t>
      </w:r>
    </w:p>
    <w:p w14:paraId="1BE728A8" w14:textId="77777777" w:rsidR="00923080" w:rsidRDefault="00000000">
      <w:pPr>
        <w:widowControl w:val="0"/>
        <w:spacing w:before="686" w:line="360" w:lineRule="auto"/>
        <w:ind w:right="-1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-Ley 18.426 Defensa en el derecho a la salud sexual y reproductiva. Cambio en el código del niño y adolescente </w:t>
      </w:r>
    </w:p>
    <w:p w14:paraId="0E0F6D02" w14:textId="77777777" w:rsidR="00923080" w:rsidRDefault="00000000">
      <w:pPr>
        <w:widowControl w:val="0"/>
        <w:spacing w:before="686" w:line="360" w:lineRule="auto"/>
        <w:ind w:right="-1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-Ley 17.823. Art. 7 y art 11.</w:t>
      </w:r>
    </w:p>
    <w:p w14:paraId="00D58D25" w14:textId="77777777" w:rsidR="00923080" w:rsidRDefault="00000000">
      <w:pPr>
        <w:widowControl w:val="0"/>
        <w:spacing w:before="686" w:line="360" w:lineRule="auto"/>
        <w:ind w:right="-1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-Ley 19.075 matrimonio igualitario. Ley 19.119 modificación. </w:t>
      </w:r>
    </w:p>
    <w:p w14:paraId="1B946663" w14:textId="77777777" w:rsidR="00923080" w:rsidRDefault="00000000">
      <w:pPr>
        <w:widowControl w:val="0"/>
        <w:spacing w:before="686" w:line="360" w:lineRule="auto"/>
        <w:ind w:right="-1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-Ley 18.600 Firma digital </w:t>
      </w:r>
    </w:p>
    <w:p w14:paraId="2728A24F" w14:textId="77777777" w:rsidR="00923080" w:rsidRDefault="00000000">
      <w:pPr>
        <w:widowControl w:val="0"/>
        <w:spacing w:before="686" w:line="360" w:lineRule="auto"/>
        <w:ind w:right="-1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-Ley 18.473 Voluntades anticipadas. Decreto 385/013 reglamento de ley </w:t>
      </w:r>
    </w:p>
    <w:p w14:paraId="5CE77478" w14:textId="77777777" w:rsidR="00923080" w:rsidRDefault="00000000">
      <w:pPr>
        <w:widowControl w:val="0"/>
        <w:spacing w:before="686" w:line="360" w:lineRule="auto"/>
        <w:ind w:right="-1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-Ley 18.537 Muerte inesperada del lactante (MIL). Decreto 90/10 Reglamentación de la norma que obliga a la realización de autopsia a todo menor de un año de vida fallecido con el diag. Primario de muerte súbita e inesperada. </w:t>
      </w:r>
    </w:p>
    <w:p w14:paraId="366C17E4" w14:textId="77777777" w:rsidR="00923080" w:rsidRDefault="00000000">
      <w:pPr>
        <w:widowControl w:val="0"/>
        <w:spacing w:before="686" w:line="360" w:lineRule="auto"/>
        <w:ind w:right="-1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-Ley 18.331 Protección de datos personales y acción de “Habeas Data”. y su decreto reglamentario 414/09. </w:t>
      </w:r>
    </w:p>
    <w:p w14:paraId="6BDD6463" w14:textId="77777777" w:rsidR="00923080" w:rsidRDefault="00000000">
      <w:pPr>
        <w:widowControl w:val="0"/>
        <w:spacing w:before="686" w:line="360" w:lineRule="auto"/>
        <w:ind w:right="-1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-Ley 18.335 Derechos y obligaciones de pacientes y usuarios de los servicios de salud. Decreto 274/10</w:t>
      </w:r>
    </w:p>
    <w:p w14:paraId="27610CA6" w14:textId="77777777" w:rsidR="00923080" w:rsidRDefault="00000000">
      <w:pPr>
        <w:widowControl w:val="0"/>
        <w:spacing w:before="686" w:line="360" w:lineRule="auto"/>
        <w:ind w:right="-1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-Ley 14.005, 17.668 y 18.968 Órganos y Tejidos</w:t>
      </w:r>
    </w:p>
    <w:p w14:paraId="512EF852" w14:textId="77777777" w:rsidR="00923080" w:rsidRDefault="00000000">
      <w:pPr>
        <w:widowControl w:val="0"/>
        <w:spacing w:before="686" w:line="360" w:lineRule="auto"/>
        <w:ind w:right="-1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-Ley 18.987 Interrupción voluntaria del embarazo.</w:t>
      </w:r>
    </w:p>
    <w:p w14:paraId="11F94E97" w14:textId="77777777" w:rsidR="00923080" w:rsidRDefault="00000000">
      <w:pPr>
        <w:widowControl w:val="0"/>
        <w:spacing w:before="686" w:line="360" w:lineRule="auto"/>
        <w:ind w:right="-1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-Ley 19.167 Reproducción asistida. (12 Noviembre de 2013) </w:t>
      </w:r>
    </w:p>
    <w:p w14:paraId="2448A071" w14:textId="77777777" w:rsidR="00923080" w:rsidRDefault="00000000">
      <w:pPr>
        <w:widowControl w:val="0"/>
        <w:spacing w:before="686" w:line="360" w:lineRule="auto"/>
        <w:ind w:right="-1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-Ley 18.270/08 Convención Iberoamericana del derecho a los jóvenes. </w:t>
      </w:r>
    </w:p>
    <w:p w14:paraId="113FE1A0" w14:textId="77777777" w:rsidR="00923080" w:rsidRDefault="00000000">
      <w:pPr>
        <w:widowControl w:val="0"/>
        <w:spacing w:before="686" w:line="360" w:lineRule="auto"/>
        <w:ind w:right="-1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-Ley 18.719 Intercambio de Información. (interoperabilidad) Arts.: 157 al 160. </w:t>
      </w:r>
    </w:p>
    <w:p w14:paraId="5ABF710B" w14:textId="77777777" w:rsidR="00923080" w:rsidRDefault="00000000">
      <w:pPr>
        <w:widowControl w:val="0"/>
        <w:spacing w:before="686" w:line="360" w:lineRule="auto"/>
        <w:ind w:right="-1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-Ley 18381/08 Derecho de acceso a la información Pública. </w:t>
      </w:r>
    </w:p>
    <w:p w14:paraId="7D609C7E" w14:textId="77777777" w:rsidR="00923080" w:rsidRDefault="00000000">
      <w:pPr>
        <w:widowControl w:val="0"/>
        <w:spacing w:before="686" w:line="360" w:lineRule="auto"/>
        <w:ind w:right="-1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-Ley 19628 Certificado de defunción</w:t>
      </w:r>
    </w:p>
    <w:p w14:paraId="7E608462" w14:textId="77777777" w:rsidR="00923080" w:rsidRDefault="00000000">
      <w:pPr>
        <w:widowControl w:val="0"/>
        <w:spacing w:before="686" w:line="360" w:lineRule="auto"/>
        <w:ind w:right="-1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-Ley 19869 Lineamientos generales para la implementación y desarrollo de la telemedicina como prestación de los servicios de salud.</w:t>
      </w:r>
    </w:p>
    <w:p w14:paraId="57C3921F" w14:textId="77777777" w:rsidR="00923080" w:rsidRDefault="00000000">
      <w:pPr>
        <w:widowControl w:val="0"/>
        <w:spacing w:before="686" w:line="360" w:lineRule="auto"/>
        <w:ind w:right="-1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-Decreto 355/82 Procedimientos a seguir en la destrucción de determinados documentos y su ampliación en el Decreto 037/005. </w:t>
      </w:r>
    </w:p>
    <w:p w14:paraId="04C9861C" w14:textId="77777777" w:rsidR="00923080" w:rsidRDefault="00000000">
      <w:pPr>
        <w:widowControl w:val="0"/>
        <w:spacing w:before="686" w:line="360" w:lineRule="auto"/>
        <w:ind w:right="-1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-Decreto 276/013. Regula ley 18600</w:t>
      </w:r>
    </w:p>
    <w:p w14:paraId="422A814A" w14:textId="77777777" w:rsidR="00923080" w:rsidRDefault="00000000">
      <w:pPr>
        <w:widowControl w:val="0"/>
        <w:spacing w:before="686" w:line="360" w:lineRule="auto"/>
        <w:ind w:right="-1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-Decretos 249 y 250/007 Derecho a la identidad del niño y su identificación desde el nacimiento. </w:t>
      </w:r>
    </w:p>
    <w:p w14:paraId="73AED8A9" w14:textId="77777777" w:rsidR="00923080" w:rsidRDefault="00000000">
      <w:pPr>
        <w:widowControl w:val="0"/>
        <w:spacing w:before="686" w:line="360" w:lineRule="auto"/>
        <w:ind w:right="-1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-Decreto 288/81 Envío de la fotocopia de HC a la Morgue Judicial </w:t>
      </w:r>
    </w:p>
    <w:p w14:paraId="15BAB100" w14:textId="77777777" w:rsidR="00923080" w:rsidRDefault="00000000">
      <w:pPr>
        <w:widowControl w:val="0"/>
        <w:spacing w:before="686" w:line="360" w:lineRule="auto"/>
        <w:ind w:right="-1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-Decreto 431/011 Modelo de Certificado de Defunción y el Certificado de Defunción Resumido en formato electrónico. </w:t>
      </w:r>
    </w:p>
    <w:p w14:paraId="36250C2A" w14:textId="77777777" w:rsidR="00923080" w:rsidRDefault="00000000">
      <w:pPr>
        <w:widowControl w:val="0"/>
        <w:spacing w:before="686" w:line="360" w:lineRule="auto"/>
        <w:ind w:right="-1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-Decreto 580/76 Certificados de nacimientos. Inscripciones tardías </w:t>
      </w:r>
    </w:p>
    <w:p w14:paraId="465085D1" w14:textId="77777777" w:rsidR="00923080" w:rsidRDefault="00000000">
      <w:pPr>
        <w:widowControl w:val="0"/>
        <w:spacing w:before="686" w:line="360" w:lineRule="auto"/>
        <w:ind w:right="-1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-Decreto 414 /009 Reglamentario de la Ley 18.331 “Protección de datos personales y acción de Habeas Data” </w:t>
      </w:r>
    </w:p>
    <w:p w14:paraId="1A2A859C" w14:textId="77777777" w:rsidR="00923080" w:rsidRDefault="00000000">
      <w:pPr>
        <w:widowControl w:val="0"/>
        <w:spacing w:before="686" w:line="360" w:lineRule="auto"/>
        <w:ind w:right="-1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-Decreto 753/979 Certificado de defunción.</w:t>
      </w:r>
    </w:p>
    <w:p w14:paraId="6C546D9D" w14:textId="77777777" w:rsidR="00923080" w:rsidRDefault="00000000">
      <w:pPr>
        <w:widowControl w:val="0"/>
        <w:spacing w:before="686" w:line="360" w:lineRule="auto"/>
        <w:ind w:right="-1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-Decretos 274/10 Reglamentación de Ley 18335 Derechos y obligaciones de pacientes y usuarios de los Servicios de Salud. </w:t>
      </w:r>
    </w:p>
    <w:p w14:paraId="7DFE05DC" w14:textId="77777777" w:rsidR="00923080" w:rsidRDefault="00000000">
      <w:pPr>
        <w:widowControl w:val="0"/>
        <w:spacing w:before="686" w:line="360" w:lineRule="auto"/>
        <w:ind w:right="-1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-Decreto 410/90 SIP </w:t>
      </w:r>
    </w:p>
    <w:p w14:paraId="1533C36F" w14:textId="77777777" w:rsidR="00923080" w:rsidRDefault="00000000">
      <w:pPr>
        <w:widowControl w:val="0"/>
        <w:spacing w:before="686" w:line="360" w:lineRule="auto"/>
        <w:ind w:right="-1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-Decreto 242/017 Historia Clínica Electrónica Nacional (HCEN) </w:t>
      </w:r>
    </w:p>
    <w:p w14:paraId="7DDD2C32" w14:textId="77777777" w:rsidR="00923080" w:rsidRDefault="00000000">
      <w:pPr>
        <w:widowControl w:val="0"/>
        <w:spacing w:before="686" w:line="360" w:lineRule="auto"/>
        <w:ind w:right="-1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-Decreto 357/07 Ministerio de Salud Consulta Externa. </w:t>
      </w:r>
    </w:p>
    <w:p w14:paraId="28F5872E" w14:textId="77777777" w:rsidR="00923080" w:rsidRDefault="00000000">
      <w:pPr>
        <w:widowControl w:val="0"/>
        <w:spacing w:before="686" w:line="360" w:lineRule="auto"/>
        <w:ind w:right="-1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-Decreto 459/16 Agenda Digital 2015 -2020</w:t>
      </w:r>
    </w:p>
    <w:p w14:paraId="6E4FC3DA" w14:textId="77777777" w:rsidR="00923080" w:rsidRDefault="00000000">
      <w:pPr>
        <w:widowControl w:val="0"/>
        <w:spacing w:before="686" w:line="360" w:lineRule="auto"/>
        <w:ind w:right="-1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-Ordenanza 33/84 Norma para el funcionamiento de los Registros Clínicos de las IAMC y características de las HC. </w:t>
      </w:r>
    </w:p>
    <w:p w14:paraId="051981BA" w14:textId="77777777" w:rsidR="00923080" w:rsidRDefault="00000000">
      <w:pPr>
        <w:widowControl w:val="0"/>
        <w:spacing w:before="686" w:line="360" w:lineRule="auto"/>
        <w:ind w:right="-1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-Ordenanza 363/54 MS Disposiciones relacionadas con las Historias Clínicas de los enfermos internados en los establecimientos de Salud Pública (8/1/54)</w:t>
      </w:r>
    </w:p>
    <w:p w14:paraId="3E92760A" w14:textId="77777777" w:rsidR="00923080" w:rsidRDefault="00000000">
      <w:pPr>
        <w:widowControl w:val="0"/>
        <w:spacing w:before="686" w:line="360" w:lineRule="auto"/>
        <w:ind w:right="-1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-Ordenanza 1/90 Obligatoriedad de la historia perinatal.</w:t>
      </w:r>
    </w:p>
    <w:p w14:paraId="13C743B0" w14:textId="77777777" w:rsidR="00923080" w:rsidRDefault="00000000">
      <w:pPr>
        <w:widowControl w:val="0"/>
        <w:spacing w:before="686" w:line="360" w:lineRule="auto"/>
        <w:ind w:right="-1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-Ordenanza 603/12 Consulta Externa </w:t>
      </w:r>
    </w:p>
    <w:p w14:paraId="5E7C798C" w14:textId="77777777" w:rsidR="00923080" w:rsidRDefault="00000000">
      <w:pPr>
        <w:widowControl w:val="0"/>
        <w:spacing w:before="686" w:line="360" w:lineRule="auto"/>
        <w:ind w:right="-1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-Ordenanza 830/16 Consulta Externa. Modificaciones del 603/12. </w:t>
      </w:r>
    </w:p>
    <w:p w14:paraId="684FDC0E" w14:textId="77777777" w:rsidR="00923080" w:rsidRDefault="00000000">
      <w:pPr>
        <w:widowControl w:val="0"/>
        <w:spacing w:before="686" w:line="360" w:lineRule="auto"/>
        <w:ind w:right="-1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-Ordenanza 693/013 notificación de óbitos fetales</w:t>
      </w:r>
    </w:p>
    <w:p w14:paraId="5AB9EA03" w14:textId="77777777" w:rsidR="00923080" w:rsidRDefault="00000000">
      <w:pPr>
        <w:widowControl w:val="0"/>
        <w:spacing w:before="686" w:line="360" w:lineRule="auto"/>
        <w:ind w:right="-105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-Podcasts</w:t>
      </w:r>
    </w:p>
    <w:p w14:paraId="295368A2" w14:textId="77777777" w:rsidR="00923080" w:rsidRDefault="00000000">
      <w:pPr>
        <w:widowControl w:val="0"/>
        <w:spacing w:before="686" w:line="360" w:lineRule="auto"/>
        <w:ind w:right="-105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-Sistemas de información y salud digital: durante y después de la pandemia COVID-19. PAHO. OMS. Sistemas de Información para la Salud. Disponibles en : </w:t>
      </w:r>
      <w:hyperlink r:id="rId12">
        <w:r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https://www.paho.org/ish/index.php/en/podcasts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14:paraId="7FE1C5C5" w14:textId="77777777" w:rsidR="00923080" w:rsidRDefault="00923080">
      <w:pPr>
        <w:widowControl w:val="0"/>
        <w:spacing w:before="686" w:line="360" w:lineRule="auto"/>
        <w:ind w:right="-1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36D1C3E" w14:textId="77777777" w:rsidR="00923080" w:rsidRDefault="00000000">
      <w:pPr>
        <w:widowControl w:val="0"/>
        <w:spacing w:before="686" w:line="360" w:lineRule="auto"/>
        <w:ind w:right="-105"/>
        <w:rPr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La bibliografía podrá ser modificada según requerimientos docentes.</w:t>
      </w:r>
    </w:p>
    <w:sectPr w:rsidR="00923080">
      <w:footerReference w:type="default" r:id="rId13"/>
      <w:pgSz w:w="12240" w:h="15840"/>
      <w:pgMar w:top="1440" w:right="1440" w:bottom="1440" w:left="1440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8B48B" w14:textId="77777777" w:rsidR="00245507" w:rsidRDefault="00245507">
      <w:pPr>
        <w:spacing w:line="240" w:lineRule="auto"/>
      </w:pPr>
      <w:r>
        <w:separator/>
      </w:r>
    </w:p>
  </w:endnote>
  <w:endnote w:type="continuationSeparator" w:id="0">
    <w:p w14:paraId="4B9772D0" w14:textId="77777777" w:rsidR="00245507" w:rsidRDefault="002455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889C9" w14:textId="77777777" w:rsidR="00923080" w:rsidRDefault="00000000">
    <w:pPr>
      <w:jc w:val="right"/>
    </w:pPr>
    <w:r>
      <w:fldChar w:fldCharType="begin"/>
    </w:r>
    <w:r>
      <w:instrText>PAGE</w:instrText>
    </w:r>
    <w:r>
      <w:fldChar w:fldCharType="separate"/>
    </w:r>
    <w:r w:rsidR="00590F76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33EC1" w14:textId="77777777" w:rsidR="00245507" w:rsidRDefault="00245507">
      <w:pPr>
        <w:spacing w:line="240" w:lineRule="auto"/>
      </w:pPr>
      <w:r>
        <w:separator/>
      </w:r>
    </w:p>
  </w:footnote>
  <w:footnote w:type="continuationSeparator" w:id="0">
    <w:p w14:paraId="085878E9" w14:textId="77777777" w:rsidR="00245507" w:rsidRDefault="0024550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080"/>
    <w:rsid w:val="00245507"/>
    <w:rsid w:val="00590F76"/>
    <w:rsid w:val="00923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1A368"/>
  <w15:docId w15:val="{56C02918-34AC-4E0F-B1B5-AE560A767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-UY" w:eastAsia="es-UY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earning.ihtsdotools.org/mod/scorm/view.php?id=833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iehr.eu/knowledge/what-is-hl7-cda/" TargetMode="External"/><Relationship Id="rId12" Type="http://schemas.openxmlformats.org/officeDocument/2006/relationships/hyperlink" Target="https://www.paho.org/ish/index.php/en/podcast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scielo.org.pe/scielo.php?script=sci_arttext&amp;amp;pid=S172646342015000200020&amp;amp;nrm=iso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www.hospitalitaliano.org.ar/multimedia/archivos/repositorio/11/recursos/861_Danie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wpro.who.int/publications/docs/Improving_Data_Quality.pdf?ua=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1307</Words>
  <Characters>7194</Characters>
  <Application>Microsoft Office Word</Application>
  <DocSecurity>0</DocSecurity>
  <Lines>59</Lines>
  <Paragraphs>16</Paragraphs>
  <ScaleCrop>false</ScaleCrop>
  <Company/>
  <LinksUpToDate>false</LinksUpToDate>
  <CharactersWithSpaces>8485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PC</dc:creator>
  <cp:lastModifiedBy>HP PC</cp:lastModifiedBy>
  <cp:revision>2</cp:revision>
  <dcterms:created xsi:type="dcterms:W3CDTF">2024-02-19T13:38:00Z</dcterms:created>
  <dcterms:modified xsi:type="dcterms:W3CDTF">2024-02-19T13:38:00Z</dcterms:modified>
</cp:coreProperties>
</file>