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8895" w14:textId="77777777" w:rsidR="00923080" w:rsidRDefault="00000000">
      <w:pPr>
        <w:widowControl w:val="0"/>
        <w:spacing w:before="1156" w:line="360" w:lineRule="auto"/>
        <w:ind w:left="2880" w:right="3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DE CURSO  Registros Médicos I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BE12BCC" wp14:editId="685A1091">
            <wp:simplePos x="0" y="0"/>
            <wp:positionH relativeFrom="column">
              <wp:posOffset>-248283</wp:posOffset>
            </wp:positionH>
            <wp:positionV relativeFrom="paragraph">
              <wp:posOffset>-342264</wp:posOffset>
            </wp:positionV>
            <wp:extent cx="6116320" cy="8972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19838" w14:textId="77777777" w:rsidR="00923080" w:rsidRDefault="00000000">
      <w:pPr>
        <w:widowControl w:val="0"/>
        <w:spacing w:before="691" w:line="360" w:lineRule="auto"/>
        <w:ind w:left="-28" w:right="36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 UBICACIÓN CURRICULAR Y PREVIATURAS </w:t>
      </w:r>
    </w:p>
    <w:p w14:paraId="33F9645A" w14:textId="77777777" w:rsidR="00923080" w:rsidRDefault="00000000">
      <w:pPr>
        <w:widowControl w:val="0"/>
        <w:spacing w:before="225" w:line="360" w:lineRule="auto"/>
        <w:ind w:left="-28" w:right="-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 asignatura corresponde al segundo año de la carrera, es semestral y se dicta en el 1er semestre. </w:t>
      </w:r>
    </w:p>
    <w:p w14:paraId="018B9988" w14:textId="77777777" w:rsidR="00923080" w:rsidRDefault="00000000">
      <w:pPr>
        <w:widowControl w:val="0"/>
        <w:spacing w:before="225" w:line="360" w:lineRule="auto"/>
        <w:ind w:left="-28" w:right="-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previaturas son las siguientes: Ciclo ESFUNO, Introducción a los Registros Médicos</w:t>
      </w:r>
    </w:p>
    <w:p w14:paraId="638D98CC" w14:textId="77777777" w:rsidR="00923080" w:rsidRDefault="00000000">
      <w:pPr>
        <w:widowControl w:val="0"/>
        <w:spacing w:before="691" w:line="360" w:lineRule="auto"/>
        <w:ind w:left="-28" w:right="58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2- EQUIPO DOCENTE A CARGO </w:t>
      </w:r>
    </w:p>
    <w:p w14:paraId="4A2BB243" w14:textId="77777777" w:rsidR="00923080" w:rsidRDefault="00923080">
      <w:pPr>
        <w:widowControl w:val="0"/>
        <w:spacing w:before="225" w:line="360" w:lineRule="auto"/>
        <w:ind w:left="-2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285B7" w14:textId="77777777" w:rsidR="00923080" w:rsidRDefault="00000000">
      <w:pPr>
        <w:widowControl w:val="0"/>
        <w:spacing w:before="225" w:line="360" w:lineRule="auto"/>
        <w:ind w:left="-2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-Prof. Adj. Lic. Stephanie Guirin</w:t>
      </w:r>
    </w:p>
    <w:p w14:paraId="23B07B00" w14:textId="77777777" w:rsidR="00923080" w:rsidRDefault="00000000">
      <w:pPr>
        <w:widowControl w:val="0"/>
        <w:spacing w:before="225" w:line="360" w:lineRule="auto"/>
        <w:ind w:left="-2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Prof. Adj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Jorge Sandes</w:t>
      </w:r>
    </w:p>
    <w:p w14:paraId="446B6759" w14:textId="77777777" w:rsidR="00923080" w:rsidRDefault="00000000">
      <w:pPr>
        <w:widowControl w:val="0"/>
        <w:spacing w:before="225" w:line="360" w:lineRule="auto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-Ayud. Lic. Paola Mederos</w:t>
      </w:r>
    </w:p>
    <w:p w14:paraId="67688B95" w14:textId="77777777" w:rsidR="00923080" w:rsidRDefault="00000000">
      <w:pPr>
        <w:widowControl w:val="0"/>
        <w:spacing w:before="691" w:line="360" w:lineRule="auto"/>
        <w:ind w:right="863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3- FUNDAMENTACIÓN Y OBJETIVOS GENERALES: </w:t>
      </w:r>
    </w:p>
    <w:p w14:paraId="30BFD38F" w14:textId="77777777" w:rsidR="00923080" w:rsidRDefault="00000000">
      <w:pPr>
        <w:widowControl w:val="0"/>
        <w:spacing w:before="691" w:line="360" w:lineRule="auto"/>
        <w:ind w:left="-28" w:right="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Introducir al estudiante en el conocimiento teórico de los temas fundamentales y específicos de los Registros Médicos.</w:t>
      </w:r>
    </w:p>
    <w:p w14:paraId="4A23D52A" w14:textId="77777777" w:rsidR="00923080" w:rsidRDefault="00000000">
      <w:pPr>
        <w:widowControl w:val="0"/>
        <w:spacing w:before="691" w:line="360" w:lineRule="auto"/>
        <w:ind w:right="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Brindarle las herramientas necesarias para el desempeño profesional en todo ámbito sanitario.</w:t>
      </w:r>
    </w:p>
    <w:p w14:paraId="5BB57948" w14:textId="77777777" w:rsidR="00923080" w:rsidRDefault="00923080">
      <w:pPr>
        <w:widowControl w:val="0"/>
        <w:spacing w:before="691" w:line="360" w:lineRule="auto"/>
        <w:ind w:right="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AB4DE" w14:textId="77777777" w:rsidR="00923080" w:rsidRDefault="00000000">
      <w:pPr>
        <w:widowControl w:val="0"/>
        <w:spacing w:before="691" w:line="360" w:lineRule="auto"/>
        <w:ind w:left="-28" w:right="2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4- METODOLOGÍAS DE ENSEÑANZA </w:t>
      </w:r>
    </w:p>
    <w:p w14:paraId="3BF99033" w14:textId="77777777" w:rsidR="00923080" w:rsidRDefault="00000000">
      <w:pPr>
        <w:widowControl w:val="0"/>
        <w:spacing w:before="225" w:line="360" w:lineRule="auto"/>
        <w:ind w:left="-28"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Clases teórico prácticas, a través de la plataforma EVA, en el curso Registros Médicos I. </w:t>
      </w:r>
    </w:p>
    <w:p w14:paraId="701DCF6A" w14:textId="77777777" w:rsidR="00923080" w:rsidRDefault="00000000">
      <w:pPr>
        <w:widowControl w:val="0"/>
        <w:spacing w:before="686" w:line="360" w:lineRule="auto"/>
        <w:ind w:left="-28" w:right="56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5- CONTENIDOS TEMÁTICOS </w:t>
      </w:r>
    </w:p>
    <w:p w14:paraId="42AAFC03" w14:textId="77777777" w:rsidR="00923080" w:rsidRDefault="0092308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92C526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Gestión y procesos asistenciales de Registros Médicos </w:t>
      </w:r>
    </w:p>
    <w:p w14:paraId="7DA21645" w14:textId="77777777" w:rsidR="00923080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-Sistema de Información en Salud</w:t>
      </w:r>
    </w:p>
    <w:p w14:paraId="4E3D629B" w14:textId="77777777" w:rsidR="00923080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Historia Clínica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FCB2CC" w14:textId="77777777" w:rsidR="00923080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-Historia Clínica Electrónica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3F176" w14:textId="77777777" w:rsidR="00923080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Interoperabilidad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32FBEF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Archivo</w:t>
      </w:r>
    </w:p>
    <w:p w14:paraId="0FF7BEEB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-Consulta Externa. Servicios Ambulatorios. Telemedicina (Teleconsultas) </w:t>
      </w:r>
    </w:p>
    <w:p w14:paraId="2E63EE9A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-Servicios de Diagnóstico y Tratamiento</w:t>
      </w:r>
    </w:p>
    <w:p w14:paraId="4AC54A62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-Admisión</w:t>
      </w:r>
    </w:p>
    <w:p w14:paraId="0DC37389" w14:textId="77777777" w:rsidR="00923080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-Hospitalización</w:t>
      </w:r>
    </w:p>
    <w:p w14:paraId="1E3411C2" w14:textId="77777777" w:rsidR="00923080" w:rsidRDefault="00000000">
      <w:pPr>
        <w:widowControl w:val="0"/>
        <w:spacing w:before="691" w:line="360" w:lineRule="auto"/>
        <w:ind w:left="-28" w:right="67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6- CARGA HORARIA </w:t>
      </w:r>
    </w:p>
    <w:p w14:paraId="4E9A01CA" w14:textId="77777777" w:rsidR="00923080" w:rsidRDefault="00000000">
      <w:pPr>
        <w:widowControl w:val="0"/>
        <w:spacing w:before="585" w:line="360" w:lineRule="auto"/>
        <w:ind w:left="-28" w:right="-11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materia tiene 3 horas semanales  teóricas, divididas en dos días, de 1,5.  Se </w:t>
      </w:r>
      <w:r>
        <w:rPr>
          <w:rFonts w:ascii="Times New Roman" w:eastAsia="Times New Roman" w:hAnsi="Times New Roman" w:cs="Times New Roman"/>
          <w:sz w:val="24"/>
          <w:szCs w:val="24"/>
        </w:rPr>
        <w:t>propondrán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actividades obligatorias de entrega y actividades no obligatorias, estas podrán 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carácter individual  y/o grupal. Aclaración las clases </w:t>
      </w:r>
      <w:r>
        <w:rPr>
          <w:rFonts w:ascii="Times New Roman" w:eastAsia="Times New Roman" w:hAnsi="Times New Roman" w:cs="Times New Roman"/>
          <w:sz w:val="24"/>
          <w:szCs w:val="24"/>
        </w:rPr>
        <w:t>serán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virtuales, el estudiante </w:t>
      </w:r>
      <w:r>
        <w:rPr>
          <w:rFonts w:ascii="Times New Roman" w:eastAsia="Times New Roman" w:hAnsi="Times New Roman" w:cs="Times New Roman"/>
          <w:sz w:val="24"/>
          <w:szCs w:val="24"/>
        </w:rPr>
        <w:t>tendrá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posibilidad de participar en el momento del dictado de la clase o luego de publicada en la plataforma Eva de forma </w:t>
      </w:r>
      <w:r>
        <w:rPr>
          <w:rFonts w:ascii="Times New Roman" w:eastAsia="Times New Roman" w:hAnsi="Times New Roman" w:cs="Times New Roman"/>
          <w:sz w:val="24"/>
          <w:szCs w:val="24"/>
        </w:rPr>
        <w:t>asincrónica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</w:t>
      </w:r>
    </w:p>
    <w:p w14:paraId="054372B6" w14:textId="77777777" w:rsidR="00923080" w:rsidRDefault="00923080">
      <w:pPr>
        <w:widowControl w:val="0"/>
        <w:spacing w:before="585" w:line="360" w:lineRule="auto"/>
        <w:ind w:left="-28" w:right="-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4362" w:type="dxa"/>
        <w:tblInd w:w="2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2071"/>
      </w:tblGrid>
      <w:tr w:rsidR="00923080" w14:paraId="15AA66F7" w14:textId="77777777">
        <w:tc>
          <w:tcPr>
            <w:tcW w:w="2291" w:type="dxa"/>
            <w:shd w:val="clear" w:color="auto" w:fill="auto"/>
          </w:tcPr>
          <w:p w14:paraId="079458CF" w14:textId="77777777" w:rsidR="00923080" w:rsidRDefault="00000000">
            <w:pPr>
              <w:widowControl w:val="0"/>
              <w:spacing w:before="585" w:line="36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Carga horaria semanal</w:t>
            </w:r>
          </w:p>
        </w:tc>
        <w:tc>
          <w:tcPr>
            <w:tcW w:w="2071" w:type="dxa"/>
            <w:shd w:val="clear" w:color="auto" w:fill="auto"/>
          </w:tcPr>
          <w:p w14:paraId="611FA283" w14:textId="77777777" w:rsidR="00923080" w:rsidRDefault="00000000">
            <w:pPr>
              <w:widowControl w:val="0"/>
              <w:spacing w:before="585" w:line="36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Dedicación semanal</w:t>
            </w:r>
          </w:p>
        </w:tc>
      </w:tr>
      <w:tr w:rsidR="00923080" w14:paraId="6AAA2632" w14:textId="77777777">
        <w:tc>
          <w:tcPr>
            <w:tcW w:w="2291" w:type="dxa"/>
            <w:shd w:val="clear" w:color="auto" w:fill="auto"/>
          </w:tcPr>
          <w:p w14:paraId="453CD05F" w14:textId="77777777" w:rsidR="00923080" w:rsidRDefault="00000000">
            <w:pPr>
              <w:widowControl w:val="0"/>
              <w:spacing w:before="585" w:line="36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horas</w:t>
            </w:r>
          </w:p>
        </w:tc>
        <w:tc>
          <w:tcPr>
            <w:tcW w:w="2071" w:type="dxa"/>
            <w:shd w:val="clear" w:color="auto" w:fill="auto"/>
          </w:tcPr>
          <w:p w14:paraId="4912A0A8" w14:textId="77777777" w:rsidR="00923080" w:rsidRDefault="00000000">
            <w:pPr>
              <w:widowControl w:val="0"/>
              <w:spacing w:before="585" w:line="36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horas</w:t>
            </w:r>
          </w:p>
        </w:tc>
      </w:tr>
    </w:tbl>
    <w:p w14:paraId="1C882BDA" w14:textId="77777777" w:rsidR="00923080" w:rsidRDefault="00000000">
      <w:pPr>
        <w:widowControl w:val="0"/>
        <w:spacing w:before="585" w:line="360" w:lineRule="auto"/>
        <w:ind w:left="-28" w:right="-11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7- FORMAS DE EVALUACIÓN, GANANCIA Y APROBACIÓN DEL CURSO </w:t>
      </w:r>
    </w:p>
    <w:p w14:paraId="2F06FBF3" w14:textId="77777777" w:rsidR="00923080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realizarán 3 pruebas parciales </w:t>
      </w:r>
      <w:r>
        <w:rPr>
          <w:rFonts w:ascii="Times New Roman" w:eastAsia="Times New Roman" w:hAnsi="Times New Roman" w:cs="Times New Roman"/>
          <w:sz w:val="24"/>
          <w:szCs w:val="24"/>
        </w:rPr>
        <w:t>obligatorias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se tendrán en cuenta los trabajos grupales e individuales y las participaciones obligatorias en foros, para la ganancia del curso.</w:t>
      </w:r>
    </w:p>
    <w:p w14:paraId="39FC6422" w14:textId="77777777" w:rsidR="00923080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 parciales </w:t>
      </w:r>
      <w:r>
        <w:rPr>
          <w:rFonts w:ascii="Times New Roman" w:eastAsia="Times New Roman" w:hAnsi="Times New Roman" w:cs="Times New Roman"/>
          <w:sz w:val="24"/>
          <w:szCs w:val="24"/>
        </w:rPr>
        <w:t>son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puntos como máximo cada uno, teniendo como mínimo el primero 8 puntos, el segundo y tercero 10 puntos como mínimo. </w:t>
      </w:r>
    </w:p>
    <w:p w14:paraId="229A3170" w14:textId="77777777" w:rsidR="00923080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trabajos grupales obligatorios tienen como máximo </w:t>
      </w:r>
      <w:r>
        <w:rPr>
          <w:rFonts w:ascii="Times New Roman" w:eastAsia="Times New Roman" w:hAnsi="Times New Roman" w:cs="Times New Roman"/>
          <w:sz w:val="24"/>
          <w:szCs w:val="24"/>
        </w:rPr>
        <w:t>10 puntos.</w:t>
      </w:r>
    </w:p>
    <w:p w14:paraId="10675B4D" w14:textId="77777777" w:rsidR="00923080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ganar el curso se debe tener un mínimo de 50 puntos obteniéndose el derecho a dar el examen (obligatorio).</w:t>
      </w:r>
    </w:p>
    <w:p w14:paraId="682642A1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Instancias por la que se pierde el curso: </w:t>
      </w:r>
    </w:p>
    <w:p w14:paraId="1ED71A65" w14:textId="77777777" w:rsidR="00923080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-obteniendo menos de 50 puntos en la suma total de las actividades.</w:t>
      </w:r>
    </w:p>
    <w:p w14:paraId="3D1C4A7E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-obteniendo  una puntuación por debajo del mínimo en cualquiera de los parciales.</w:t>
      </w:r>
    </w:p>
    <w:p w14:paraId="0162874A" w14:textId="77777777" w:rsidR="00923080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-No participar en </w:t>
      </w:r>
      <w:r>
        <w:rPr>
          <w:rFonts w:ascii="Times New Roman" w:eastAsia="Times New Roman" w:hAnsi="Times New Roman" w:cs="Times New Roman"/>
          <w:sz w:val="24"/>
          <w:szCs w:val="24"/>
        </w:rPr>
        <w:t>el trabajo grupal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ECC83F" w14:textId="77777777" w:rsidR="00923080" w:rsidRDefault="0092308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7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1551"/>
        <w:gridCol w:w="1551"/>
        <w:gridCol w:w="1551"/>
        <w:gridCol w:w="1555"/>
      </w:tblGrid>
      <w:tr w:rsidR="00923080" w14:paraId="6F0EDA86" w14:textId="77777777">
        <w:tc>
          <w:tcPr>
            <w:tcW w:w="1567" w:type="dxa"/>
            <w:shd w:val="clear" w:color="auto" w:fill="auto"/>
          </w:tcPr>
          <w:p w14:paraId="05CAF2BB" w14:textId="77777777" w:rsidR="0092308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Actividad</w:t>
            </w:r>
          </w:p>
        </w:tc>
        <w:tc>
          <w:tcPr>
            <w:tcW w:w="1551" w:type="dxa"/>
            <w:shd w:val="clear" w:color="auto" w:fill="auto"/>
          </w:tcPr>
          <w:p w14:paraId="55CEA6B5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Parcial</w:t>
            </w:r>
          </w:p>
        </w:tc>
        <w:tc>
          <w:tcPr>
            <w:tcW w:w="1551" w:type="dxa"/>
            <w:shd w:val="clear" w:color="auto" w:fill="auto"/>
          </w:tcPr>
          <w:p w14:paraId="73DE3F20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Parcial</w:t>
            </w:r>
          </w:p>
        </w:tc>
        <w:tc>
          <w:tcPr>
            <w:tcW w:w="1551" w:type="dxa"/>
            <w:shd w:val="clear" w:color="auto" w:fill="auto"/>
          </w:tcPr>
          <w:p w14:paraId="30289281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Parcial</w:t>
            </w:r>
          </w:p>
        </w:tc>
        <w:tc>
          <w:tcPr>
            <w:tcW w:w="1555" w:type="dxa"/>
            <w:shd w:val="clear" w:color="auto" w:fill="auto"/>
          </w:tcPr>
          <w:p w14:paraId="1F893DA6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Trabajo  grupal</w:t>
            </w:r>
          </w:p>
        </w:tc>
      </w:tr>
      <w:tr w:rsidR="00923080" w14:paraId="575CCC77" w14:textId="77777777">
        <w:tc>
          <w:tcPr>
            <w:tcW w:w="1567" w:type="dxa"/>
            <w:shd w:val="clear" w:color="auto" w:fill="auto"/>
          </w:tcPr>
          <w:p w14:paraId="27E242FD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Puntos (%)</w:t>
            </w:r>
          </w:p>
        </w:tc>
        <w:tc>
          <w:tcPr>
            <w:tcW w:w="1551" w:type="dxa"/>
            <w:shd w:val="clear" w:color="auto" w:fill="auto"/>
          </w:tcPr>
          <w:p w14:paraId="2E30A493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(8 mínimo)</w:t>
            </w:r>
          </w:p>
        </w:tc>
        <w:tc>
          <w:tcPr>
            <w:tcW w:w="1551" w:type="dxa"/>
            <w:shd w:val="clear" w:color="auto" w:fill="auto"/>
          </w:tcPr>
          <w:p w14:paraId="1B266BE1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(10 mínimo)</w:t>
            </w:r>
          </w:p>
        </w:tc>
        <w:tc>
          <w:tcPr>
            <w:tcW w:w="1551" w:type="dxa"/>
            <w:shd w:val="clear" w:color="auto" w:fill="auto"/>
          </w:tcPr>
          <w:p w14:paraId="2C054D5D" w14:textId="77777777" w:rsidR="0092308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(10 mínimo)</w:t>
            </w:r>
          </w:p>
        </w:tc>
        <w:tc>
          <w:tcPr>
            <w:tcW w:w="1555" w:type="dxa"/>
            <w:shd w:val="clear" w:color="auto" w:fill="auto"/>
          </w:tcPr>
          <w:p w14:paraId="6275AC38" w14:textId="77777777" w:rsidR="0092308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(mínimo)</w:t>
            </w:r>
          </w:p>
        </w:tc>
      </w:tr>
    </w:tbl>
    <w:p w14:paraId="1E1CCF31" w14:textId="77777777" w:rsidR="00923080" w:rsidRDefault="0092308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55C19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Todas las actividades serán virtuales. </w:t>
      </w:r>
    </w:p>
    <w:p w14:paraId="49EB07FE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aprobación del curso habilita al estudiante a rendir el examen final de la asignatura, el cual se aprobará con el 60%.</w:t>
      </w:r>
    </w:p>
    <w:p w14:paraId="589E7E1A" w14:textId="77777777" w:rsidR="0092308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modalidad del examen será presencial, consta de dos actividades:  una escrita y una  oral.</w:t>
      </w:r>
    </w:p>
    <w:p w14:paraId="53589BB0" w14:textId="77777777" w:rsidR="00923080" w:rsidRDefault="009230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98C87" w14:textId="77777777" w:rsidR="00923080" w:rsidRDefault="00000000">
      <w:pPr>
        <w:widowControl w:val="0"/>
        <w:spacing w:before="691" w:line="360" w:lineRule="auto"/>
        <w:ind w:right="54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8- ORGANIZACIÓN DEL CURSO </w:t>
      </w:r>
    </w:p>
    <w:p w14:paraId="4B70C580" w14:textId="77777777" w:rsidR="00923080" w:rsidRDefault="00000000">
      <w:pPr>
        <w:widowControl w:val="0"/>
        <w:spacing w:before="225" w:line="360" w:lineRule="auto"/>
        <w:ind w:left="-28" w:right="8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Calendario </w:t>
      </w:r>
    </w:p>
    <w:p w14:paraId="40558AA7" w14:textId="77777777" w:rsidR="00923080" w:rsidRDefault="00000000">
      <w:pPr>
        <w:widowControl w:val="0"/>
        <w:spacing w:before="48" w:line="360" w:lineRule="auto"/>
        <w:ind w:left="676" w:right="3364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 de inicio: </w:t>
      </w:r>
      <w:r>
        <w:rPr>
          <w:rFonts w:ascii="Times New Roman" w:eastAsia="Times New Roman" w:hAnsi="Times New Roman" w:cs="Times New Roman"/>
          <w:sz w:val="24"/>
          <w:szCs w:val="24"/>
        </w:rPr>
        <w:t>13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marzo</w:t>
      </w:r>
    </w:p>
    <w:p w14:paraId="2CB509A0" w14:textId="77777777" w:rsidR="00923080" w:rsidRDefault="00000000">
      <w:pPr>
        <w:widowControl w:val="0"/>
        <w:spacing w:before="48" w:line="360" w:lineRule="auto"/>
        <w:ind w:left="676" w:right="3364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Fechas de parciales: </w:t>
      </w:r>
    </w:p>
    <w:p w14:paraId="383F1A9D" w14:textId="77777777" w:rsidR="00923080" w:rsidRDefault="00000000">
      <w:pPr>
        <w:widowControl w:val="0"/>
        <w:spacing w:before="48" w:line="360" w:lineRule="auto"/>
        <w:ind w:left="676" w:right="3364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 de finalización: 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junio</w:t>
      </w:r>
    </w:p>
    <w:p w14:paraId="67ECCA8E" w14:textId="77777777" w:rsidR="00923080" w:rsidRDefault="00000000">
      <w:pPr>
        <w:widowControl w:val="0"/>
        <w:spacing w:before="48" w:line="360" w:lineRule="auto"/>
        <w:ind w:left="676" w:right="3364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Fechas de exámenes: julio</w:t>
      </w:r>
    </w:p>
    <w:p w14:paraId="02239B68" w14:textId="77777777" w:rsidR="00923080" w:rsidRDefault="00000000">
      <w:pPr>
        <w:widowControl w:val="0"/>
        <w:spacing w:before="331" w:line="360" w:lineRule="auto"/>
        <w:ind w:left="-28" w:right="7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Organización general </w:t>
      </w:r>
    </w:p>
    <w:p w14:paraId="2B0D94E3" w14:textId="77777777" w:rsidR="00923080" w:rsidRDefault="00000000">
      <w:pPr>
        <w:widowControl w:val="0"/>
        <w:spacing w:before="585" w:line="360" w:lineRule="auto"/>
        <w:ind w:left="676" w:right="-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días y horario de clase son los siguientes: </w:t>
      </w:r>
    </w:p>
    <w:p w14:paraId="43159378" w14:textId="77777777" w:rsidR="00923080" w:rsidRDefault="00000000">
      <w:pPr>
        <w:widowControl w:val="0"/>
        <w:spacing w:before="585" w:line="360" w:lineRule="auto"/>
        <w:ind w:left="676" w:right="-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CONFIRMAR</w:t>
      </w:r>
    </w:p>
    <w:p w14:paraId="2DC74C9E" w14:textId="77777777" w:rsidR="00923080" w:rsidRDefault="00923080">
      <w:pPr>
        <w:widowControl w:val="0"/>
        <w:spacing w:before="585" w:line="360" w:lineRule="auto"/>
        <w:ind w:left="676" w:right="-110"/>
        <w:rPr>
          <w:rFonts w:ascii="Times New Roman" w:eastAsia="Times New Roman" w:hAnsi="Times New Roman" w:cs="Times New Roman"/>
          <w:sz w:val="24"/>
          <w:szCs w:val="24"/>
        </w:rPr>
      </w:pPr>
    </w:p>
    <w:p w14:paraId="51D32410" w14:textId="77777777" w:rsidR="00923080" w:rsidRDefault="00000000">
      <w:pPr>
        <w:widowControl w:val="0"/>
        <w:spacing w:before="686" w:line="360" w:lineRule="auto"/>
        <w:ind w:left="-28"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9- BIBLIOGRAFÍA RECOMENDADA </w:t>
      </w:r>
    </w:p>
    <w:p w14:paraId="2C1B4B69" w14:textId="77777777" w:rsidR="00923080" w:rsidRDefault="00000000">
      <w:pPr>
        <w:widowControl w:val="0"/>
        <w:spacing w:before="686" w:line="360" w:lineRule="auto"/>
        <w:ind w:left="-28"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Libros y artículos académicos. </w:t>
      </w:r>
    </w:p>
    <w:p w14:paraId="2E28CD91" w14:textId="77777777" w:rsidR="00923080" w:rsidRDefault="00000000">
      <w:pPr>
        <w:widowControl w:val="0"/>
        <w:spacing w:before="686" w:line="360" w:lineRule="auto"/>
        <w:ind w:left="-28"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G. Berro Rovira, S. Zawadzki.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Medicina Legal Derecho Médico y Aspectos Bioéticos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Año 2013.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E630605" w14:textId="77777777" w:rsidR="00923080" w:rsidRDefault="00000000">
      <w:pPr>
        <w:widowControl w:val="0"/>
        <w:spacing w:before="686" w:line="360" w:lineRule="auto"/>
        <w:ind w:left="-28"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-J. Carnicero, A. Fernández.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Manual de Salud Electrónica.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Año 2012. CEPAL. Sociedad Española de Informática de la Salud (SEIS) 2012 Publicación de las Naciones Unidas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7EADF8E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-El Departamento de Registros Médicos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Año 1990 .Guía para su organización. Serie Paltex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OPS – OMS </w:t>
      </w:r>
    </w:p>
    <w:p w14:paraId="388F4099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Registros Médicos y de Salud. Módulos de Aprendizaje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Año 1991 . Serie Paltex OPS – OMS </w:t>
      </w:r>
    </w:p>
    <w:p w14:paraId="6AAE0AA4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Medicina Legal. Derecho Médico. Segunda edición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.2020.  Departamento de Medicina legal y ciencias forenses. Facultad de Medicina. Universidad de la República. Hugo Rodríguez Almada. Oficina del Libro</w:t>
      </w:r>
    </w:p>
    <w:p w14:paraId="31DB2659" w14:textId="77777777" w:rsidR="00923080" w:rsidRDefault="00000000">
      <w:pPr>
        <w:widowControl w:val="0"/>
        <w:spacing w:before="686" w:line="360" w:lineRule="auto"/>
        <w:ind w:right="-1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-Interoperability of electronic health records. What is HL7® CDATM? – iEHR.eu [Internet].Disponible en: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http://iehr.eu/knowledge/what-is-hl7-cda/</w:t>
        </w:r>
      </w:hyperlink>
    </w:p>
    <w:p w14:paraId="3F5AE5F8" w14:textId="77777777" w:rsidR="00923080" w:rsidRDefault="00000000">
      <w:pPr>
        <w:widowControl w:val="0"/>
        <w:spacing w:before="686" w:line="360" w:lineRule="auto"/>
        <w:ind w:right="-1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-SNOMED CT. Fundamentos: Introducción a SNOMED CT [Internet]. 2019. p. 3-4. Disponible en: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https://elearning.ihtsdotools.org/mod/scorm/view.php?id=833</w:t>
        </w:r>
      </w:hyperlink>
    </w:p>
    <w:p w14:paraId="1D35396E" w14:textId="77777777" w:rsidR="00923080" w:rsidRDefault="00000000">
      <w:pPr>
        <w:widowControl w:val="0"/>
        <w:spacing w:before="686" w:line="360" w:lineRule="auto"/>
        <w:ind w:right="-1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-World Health Organization. Regional Office for the Western Pacific. (?2003)?. Improving dataquality: a guide for developing countries. Manila: WHO Regional Office for the Western Pacific. [Internet] Disponible en: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http://www.wpro.who.int/publications/docs/Improving_Data_Quality.pdf?ua=1</w:t>
        </w:r>
      </w:hyperlink>
    </w:p>
    <w:p w14:paraId="1DE8FEBD" w14:textId="77777777" w:rsidR="00923080" w:rsidRDefault="00000000">
      <w:pPr>
        <w:widowControl w:val="0"/>
        <w:spacing w:before="686" w:line="360" w:lineRule="auto"/>
        <w:ind w:right="-1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-Luna D. Historia Clínica Digital. En: Congreso Interdisciplinario de la Salud de Bahia Blanca[Internet]. Bahía Blanca; 2015. p. 1-45. Disponible en: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https://www.hospitalitaliano.org.ar/multimedia/archivos/repositorio/11/recursos/861_Daniel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Luna Bahía Blanca 2015.pdf</w:t>
      </w:r>
    </w:p>
    <w:p w14:paraId="0E8160F8" w14:textId="77777777" w:rsidR="00923080" w:rsidRDefault="00000000">
      <w:pPr>
        <w:widowControl w:val="0"/>
        <w:spacing w:before="686" w:line="360" w:lineRule="auto"/>
        <w:ind w:right="-1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-Plazzotta F, Luna D, Gonzalez Bernaldo de Quiros F. Sistemas de Información en Salud: Integrando datos clínicos en diferentes escenarios y usuarios. Revista Peruana de </w:t>
      </w:r>
      <w:r>
        <w:rPr>
          <w:rFonts w:ascii="Times New Roman" w:eastAsia="Times New Roman" w:hAnsi="Times New Roman" w:cs="Times New Roman"/>
          <w:sz w:val="24"/>
          <w:szCs w:val="24"/>
        </w:rPr>
        <w:t>Medicina Experimental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Salud </w:t>
      </w:r>
      <w:r>
        <w:rPr>
          <w:rFonts w:ascii="Times New Roman" w:eastAsia="Times New Roman" w:hAnsi="Times New Roman" w:cs="Times New Roman"/>
          <w:sz w:val="24"/>
          <w:szCs w:val="24"/>
        </w:rPr>
        <w:t>Pública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[Internet]. 2015;32(2):343-51. Disponible en: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http://www.scielo.org.pe/scielo.php?script=sci_arttext&amp;amp;pid=S172646342015000200020&amp;amp;nrm=iso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71C870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Normativa.</w:t>
      </w:r>
    </w:p>
    <w:p w14:paraId="6C2328F5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17.823 Código de la Niñez y la Adolescencia </w:t>
      </w:r>
    </w:p>
    <w:p w14:paraId="1BE728A8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18.426 Defensa en el derecho a la salud sexual y reproductiva. Cambio en el código del niño y adolescente </w:t>
      </w:r>
    </w:p>
    <w:p w14:paraId="0E0F6D02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-Ley 17.823. Art. 7 y art 11.</w:t>
      </w:r>
    </w:p>
    <w:p w14:paraId="00D58D25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19.075 matrimonio igualitario. Ley 19.119 modificación. </w:t>
      </w:r>
    </w:p>
    <w:p w14:paraId="1B946663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18.600 Firma digital </w:t>
      </w:r>
    </w:p>
    <w:p w14:paraId="2728A24F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18.473 Voluntades anticipadas. Decreto 385/013 reglamento de ley </w:t>
      </w:r>
    </w:p>
    <w:p w14:paraId="5CE77478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18.537 Muerte inesperada del lactante (MIL). Decreto 90/10 Reglamentación de la norma que obliga a la realización de autopsia a todo menor de un año de vida fallecido con el diag. Primario de muerte súbita e inesperada. </w:t>
      </w:r>
    </w:p>
    <w:p w14:paraId="366C17E4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18.331 Protección de datos personales y acción de “Habeas Data”. y su decreto reglamentario 414/09. </w:t>
      </w:r>
    </w:p>
    <w:p w14:paraId="6BDD6463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-Ley 18.335 Derechos y obligaciones de pacientes y usuarios de los servicios de salud. Decreto 274/10</w:t>
      </w:r>
    </w:p>
    <w:p w14:paraId="27610CA6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-Ley 14.005, 17.668 y 18.968 Órganos y Tejidos</w:t>
      </w:r>
    </w:p>
    <w:p w14:paraId="512EF852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-Ley 18.987 Interrupción voluntaria del embarazo.</w:t>
      </w:r>
    </w:p>
    <w:p w14:paraId="11F94E97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19.167 Reproducción asistida. (12 Noviembre de 2013) </w:t>
      </w:r>
    </w:p>
    <w:p w14:paraId="2448A071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18.270/08 Convención Iberoamericana del derecho a los jóvenes. </w:t>
      </w:r>
    </w:p>
    <w:p w14:paraId="113FE1A0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18.719 Intercambio de Información. (interoperabilidad) Arts.: 157 al 160. </w:t>
      </w:r>
    </w:p>
    <w:p w14:paraId="5ABF710B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-Ley 18381/08 Derecho de acceso a la información Pública. </w:t>
      </w:r>
    </w:p>
    <w:p w14:paraId="7D609C7E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-Ley 19628 Certificado de defunción</w:t>
      </w:r>
    </w:p>
    <w:p w14:paraId="7E608462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-Ley 19869 Lineamientos generales para la implementación y desarrollo de la telemedicina como prestación de los servicios de salud.</w:t>
      </w:r>
    </w:p>
    <w:p w14:paraId="57C3921F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355/82 Procedimientos a seguir en la destrucción de determinados documentos y su ampliación en el Decreto 037/005. </w:t>
      </w:r>
    </w:p>
    <w:p w14:paraId="04C9861C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-Decreto 276/013. Regula ley 18600</w:t>
      </w:r>
    </w:p>
    <w:p w14:paraId="422A814A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-Decretos 249 y 250/007 Derecho a la identidad del niño y su identificación desde el nacimiento. </w:t>
      </w:r>
    </w:p>
    <w:p w14:paraId="73AED8A9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288/81 Envío de la fotocopia de HC a la Morgue Judicial </w:t>
      </w:r>
    </w:p>
    <w:p w14:paraId="15BAB100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431/011 Modelo de Certificado de Defunción y el Certificado de Defunción Resumido en formato electrónico. </w:t>
      </w:r>
    </w:p>
    <w:p w14:paraId="36250C2A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580/76 Certificados de nacimientos. Inscripciones tardías </w:t>
      </w:r>
    </w:p>
    <w:p w14:paraId="465085D1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414 /009 Reglamentario de la Ley 18.331 “Protección de datos personales y acción de Habeas Data” </w:t>
      </w:r>
    </w:p>
    <w:p w14:paraId="1A2A859C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-Decreto 753/979 Certificado de defunción.</w:t>
      </w:r>
    </w:p>
    <w:p w14:paraId="6C546D9D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-Decretos 274/10 Reglamentación de Ley 18335 Derechos y obligaciones de pacientes y usuarios de los Servicios de Salud. </w:t>
      </w:r>
    </w:p>
    <w:p w14:paraId="7DFE05DC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410/90 SIP </w:t>
      </w:r>
    </w:p>
    <w:p w14:paraId="1533C36F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242/017 Historia Clínica Electrónica Nacional (HCEN) </w:t>
      </w:r>
    </w:p>
    <w:p w14:paraId="7DDD2C32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-Decreto 357/07 Ministerio de Salud Consulta Externa. </w:t>
      </w:r>
    </w:p>
    <w:p w14:paraId="28F5872E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-Decreto 459/16 Agenda Digital 2015 -2020</w:t>
      </w:r>
    </w:p>
    <w:p w14:paraId="6E4FC3DA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-Ordenanza 33/84 Norma para el funcionamiento de los Registros Clínicos de las IAMC y características de las HC. </w:t>
      </w:r>
    </w:p>
    <w:p w14:paraId="051981BA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-Ordenanza 363/54 MS Disposiciones relacionadas con las Historias Clínicas de los enfermos internados en los establecimientos de Salud Pública (8/1/54)</w:t>
      </w:r>
    </w:p>
    <w:p w14:paraId="3E92760A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-Ordenanza 1/90 Obligatoriedad de la historia perinatal.</w:t>
      </w:r>
    </w:p>
    <w:p w14:paraId="13C743B0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-Ordenanza 603/12 Consulta Externa </w:t>
      </w:r>
    </w:p>
    <w:p w14:paraId="5E7C798C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-Ordenanza 830/16 Consulta Externa. Modificaciones del 603/12. </w:t>
      </w:r>
    </w:p>
    <w:p w14:paraId="684FDC0E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-Ordenanza 693/013 notificación de óbitos fetales</w:t>
      </w:r>
    </w:p>
    <w:p w14:paraId="5AB9EA03" w14:textId="77777777" w:rsidR="00923080" w:rsidRDefault="0000000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-Podcasts</w:t>
      </w:r>
    </w:p>
    <w:p w14:paraId="295368A2" w14:textId="77777777" w:rsidR="00923080" w:rsidRDefault="00000000">
      <w:pPr>
        <w:widowControl w:val="0"/>
        <w:spacing w:before="686" w:line="360" w:lineRule="auto"/>
        <w:ind w:right="-1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-Sistemas de información y salud digital: durante y después de la pandemia COVID-19. PAHO. OMS. Sistemas de Información para la Salud. Disponibles en :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https://www.paho.org/ish/index.php/en/podcasts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FE1C5C5" w14:textId="77777777" w:rsidR="00923080" w:rsidRDefault="00923080">
      <w:pPr>
        <w:widowControl w:val="0"/>
        <w:spacing w:before="686" w:line="360" w:lineRule="auto"/>
        <w:ind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D1C3E" w14:textId="77777777" w:rsidR="00923080" w:rsidRDefault="00000000">
      <w:pPr>
        <w:widowControl w:val="0"/>
        <w:spacing w:before="686" w:line="360" w:lineRule="auto"/>
        <w:ind w:right="-105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 bibliografía podrá ser modificada según requerimientos docentes.</w:t>
      </w:r>
    </w:p>
    <w:sectPr w:rsidR="00923080">
      <w:footerReference w:type="default" r:id="rId13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B48B" w14:textId="77777777" w:rsidR="00245507" w:rsidRDefault="00245507">
      <w:pPr>
        <w:spacing w:line="240" w:lineRule="auto"/>
      </w:pPr>
      <w:r>
        <w:separator/>
      </w:r>
    </w:p>
  </w:endnote>
  <w:endnote w:type="continuationSeparator" w:id="0">
    <w:p w14:paraId="4B9772D0" w14:textId="77777777" w:rsidR="00245507" w:rsidRDefault="0024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89C9" w14:textId="77777777" w:rsidR="0092308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90F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3EC1" w14:textId="77777777" w:rsidR="00245507" w:rsidRDefault="00245507">
      <w:pPr>
        <w:spacing w:line="240" w:lineRule="auto"/>
      </w:pPr>
      <w:r>
        <w:separator/>
      </w:r>
    </w:p>
  </w:footnote>
  <w:footnote w:type="continuationSeparator" w:id="0">
    <w:p w14:paraId="085878E9" w14:textId="77777777" w:rsidR="00245507" w:rsidRDefault="00245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80"/>
    <w:rsid w:val="00245507"/>
    <w:rsid w:val="00590F76"/>
    <w:rsid w:val="009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A368"/>
  <w15:docId w15:val="{56C02918-34AC-4E0F-B1B5-AE560A76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ihtsdotools.org/mod/scorm/view.php?id=83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ehr.eu/knowledge/what-is-hl7-cda/" TargetMode="External"/><Relationship Id="rId12" Type="http://schemas.openxmlformats.org/officeDocument/2006/relationships/hyperlink" Target="https://www.paho.org/ish/index.php/en/podca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cielo.org.pe/scielo.php?script=sci_arttext&amp;amp;pid=S172646342015000200020&amp;amp;nrm=is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hospitalitaliano.org.ar/multimedia/archivos/repositorio/11/recursos/861_Danie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pro.who.int/publications/docs/Improving_Data_Quality.pdf?ua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1307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dcterms:created xsi:type="dcterms:W3CDTF">2024-02-19T13:38:00Z</dcterms:created>
  <dcterms:modified xsi:type="dcterms:W3CDTF">2024-02-19T13:38:00Z</dcterms:modified>
</cp:coreProperties>
</file>